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2"/>
          </w:p>
        </w:tc>
      </w:tr>
    </w:tbl>
    <w:p>
      <w:pPr>
        <w:pStyle w:val="51"/>
        <w:framePr w:w="9639" w:h="624" w:hRule="exact" w:hSpace="181" w:vSpace="181"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60288;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1"/>
        <w:framePr w:w="9639" w:h="6976" w:hRule="exact" w:hSpace="0" w:vSpace="0" w:hAnchor="page" w:y="6408"/>
        <w:jc w:val="center"/>
        <w:rPr>
          <w:rFonts w:ascii="黑体" w:hAnsi="黑体" w:eastAsia="黑体"/>
          <w:b w:val="0"/>
          <w:bCs w:val="0"/>
          <w:w w:val="100"/>
        </w:rPr>
      </w:pPr>
    </w:p>
    <w:p>
      <w:pPr>
        <w:pStyle w:val="198"/>
        <w:framePr w:h="6974" w:hRule="exact"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富硒夏茶品质提升栽培技术规程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w:t>
      </w:r>
      <w:r>
        <w:rPr>
          <w:rFonts w:hint="eastAsia" w:ascii="黑体" w:hAnsi="黑体" w:eastAsia="黑体"/>
          <w:szCs w:val="28"/>
        </w:rPr>
        <w:t>code of practice</w:t>
      </w:r>
      <w:r>
        <w:rPr>
          <w:rFonts w:ascii="黑体" w:hAnsi="黑体" w:eastAsia="黑体"/>
          <w:szCs w:val="28"/>
        </w:rPr>
        <w:t xml:space="preserve"> for quality </w:t>
      </w:r>
      <w:r>
        <w:rPr>
          <w:rFonts w:hint="eastAsia" w:ascii="黑体" w:hAnsi="黑体" w:eastAsia="黑体"/>
          <w:szCs w:val="28"/>
          <w:lang w:val="en-US" w:eastAsia="zh-CN"/>
        </w:rPr>
        <w:t>improvement and cultivation of selenium enriched summer tea</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4"/>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90"/>
        <w:spacing w:after="360"/>
      </w:pPr>
      <w:bookmarkStart w:id="20"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本文件由广西壮族自治区农业科学院农业资源与环境研究所提出。</w:t>
      </w:r>
    </w:p>
    <w:p>
      <w:pPr>
        <w:pStyle w:val="57"/>
        <w:ind w:firstLine="420"/>
      </w:pPr>
      <w:r>
        <w:rPr>
          <w:rFonts w:hint="eastAsia"/>
        </w:rPr>
        <w:t>本文件起草单位：广西壮族自治区农业科学院农业资源与环境研究所、广西桂平市西山碧水茶园有限公司。</w:t>
      </w:r>
    </w:p>
    <w:p>
      <w:pPr>
        <w:pStyle w:val="57"/>
        <w:ind w:firstLine="420"/>
      </w:pPr>
      <w:r>
        <w:rPr>
          <w:rFonts w:hint="eastAsia"/>
        </w:rPr>
        <w:t>本文件主要起草人：廖青，江泽普，梁潘霞，邢颖，姚卓帆，蒙沛容。</w:t>
      </w:r>
    </w:p>
    <w:p>
      <w:pPr>
        <w:pStyle w:val="57"/>
        <w:ind w:firstLine="420"/>
      </w:pPr>
    </w:p>
    <w:p>
      <w:pPr>
        <w:pStyle w:val="57"/>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44158468EB2C43598A8C38149B28DBBE"/>
        </w:placeholder>
      </w:sdtPr>
      <w:sdtContent>
        <w:p>
          <w:pPr>
            <w:pStyle w:val="178"/>
            <w:spacing w:beforeLines="100" w:afterLines="220"/>
          </w:pPr>
          <w:bookmarkStart w:id="22" w:name="NEW_STAND_NAME"/>
          <w:r>
            <w:rPr>
              <w:rFonts w:hint="eastAsia"/>
            </w:rPr>
            <w:t>富硒夏茶品质提升栽培技术规程</w:t>
          </w:r>
        </w:p>
      </w:sdtContent>
    </w:sdt>
    <w:bookmarkEnd w:id="22"/>
    <w:p>
      <w:pPr>
        <w:pStyle w:val="105"/>
        <w:spacing w:before="240" w:after="240"/>
        <w:ind w:left="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pPr>
        <w:pStyle w:val="57"/>
        <w:ind w:firstLine="420"/>
      </w:pPr>
      <w:bookmarkStart w:id="31" w:name="_Toc17233326"/>
      <w:bookmarkStart w:id="32" w:name="_Toc17233334"/>
      <w:bookmarkStart w:id="33" w:name="_Toc24884212"/>
      <w:bookmarkStart w:id="34" w:name="_Toc24884219"/>
      <w:bookmarkStart w:id="35" w:name="_Toc26648466"/>
      <w:r>
        <w:rPr>
          <w:rFonts w:hint="eastAsia"/>
        </w:rPr>
        <w:t>本文件确立了富硒夏茶品质提升栽培的程序，规定了产地环境、种植、土肥水管理、硒素调控、修剪、遮阴、病虫草害防治、采摘及储运等阶段的操作指示，描述了生产档案的追溯方法。</w:t>
      </w:r>
    </w:p>
    <w:p>
      <w:pPr>
        <w:pStyle w:val="57"/>
        <w:ind w:firstLine="420"/>
      </w:pPr>
      <w:r>
        <w:rPr>
          <w:rFonts w:hint="eastAsia"/>
        </w:rPr>
        <w:t>本文件适用于</w:t>
      </w:r>
      <w:r>
        <w:rPr>
          <w:rFonts w:hint="eastAsia"/>
          <w:lang w:val="en-US" w:eastAsia="zh-CN"/>
        </w:rPr>
        <w:t>广西行政区域内</w:t>
      </w:r>
      <w:r>
        <w:rPr>
          <w:rFonts w:hint="eastAsia"/>
        </w:rPr>
        <w:t>富硒夏茶品质提升的栽培。</w:t>
      </w:r>
    </w:p>
    <w:p>
      <w:pPr>
        <w:pStyle w:val="105"/>
        <w:spacing w:before="240" w:after="240"/>
        <w:ind w:left="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3C90238B54C24E8A81B5F4FF50E15F8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GB/T 8321（所有部分）  农药合理使用准则</w:t>
      </w:r>
    </w:p>
    <w:p>
      <w:pPr>
        <w:pStyle w:val="57"/>
        <w:ind w:firstLine="420"/>
      </w:pPr>
      <w:r>
        <w:rPr>
          <w:rFonts w:hint="eastAsia"/>
        </w:rPr>
        <w:t>GB/Z 26576  茶叶生产技术规范</w:t>
      </w:r>
    </w:p>
    <w:p>
      <w:pPr>
        <w:pStyle w:val="57"/>
        <w:ind w:firstLine="420"/>
      </w:pPr>
      <w:r>
        <w:rPr>
          <w:rFonts w:hint="eastAsia"/>
        </w:rPr>
        <w:t>GH/T 1090  富硒茶</w:t>
      </w:r>
    </w:p>
    <w:p>
      <w:pPr>
        <w:pStyle w:val="57"/>
        <w:ind w:firstLine="420"/>
      </w:pPr>
      <w:r>
        <w:t>NY/T 496</w:t>
      </w:r>
      <w:r>
        <w:rPr>
          <w:rFonts w:hint="eastAsia"/>
        </w:rPr>
        <w:t xml:space="preserve">  </w:t>
      </w:r>
      <w:r>
        <w:t xml:space="preserve">肥料合理使用准则 </w:t>
      </w:r>
      <w:r>
        <w:rPr>
          <w:rFonts w:hint="eastAsia"/>
        </w:rPr>
        <w:t xml:space="preserve"> </w:t>
      </w:r>
      <w:r>
        <w:t>通则</w:t>
      </w:r>
    </w:p>
    <w:p>
      <w:pPr>
        <w:pStyle w:val="57"/>
        <w:ind w:firstLine="420"/>
      </w:pPr>
      <w:r>
        <w:t>NY/T 798</w:t>
      </w:r>
      <w:r>
        <w:rPr>
          <w:rFonts w:hint="eastAsia"/>
        </w:rPr>
        <w:t xml:space="preserve">  </w:t>
      </w:r>
      <w:r>
        <w:t>复合微生物肥料</w:t>
      </w:r>
    </w:p>
    <w:p>
      <w:pPr>
        <w:pStyle w:val="57"/>
        <w:ind w:firstLine="420"/>
      </w:pPr>
      <w:r>
        <w:rPr>
          <w:rFonts w:hint="eastAsia"/>
        </w:rPr>
        <w:t>NY/T 5010  无公害农产品  种植业产地环境条件</w:t>
      </w:r>
    </w:p>
    <w:p>
      <w:pPr>
        <w:pStyle w:val="57"/>
        <w:ind w:firstLine="420"/>
      </w:pPr>
      <w:r>
        <w:rPr>
          <w:rFonts w:hint="eastAsia"/>
        </w:rPr>
        <w:t>NY/T 5018  茶叶生产技术规程</w:t>
      </w:r>
    </w:p>
    <w:p>
      <w:pPr>
        <w:pStyle w:val="57"/>
        <w:ind w:firstLine="420"/>
      </w:pPr>
      <w:r>
        <w:rPr>
          <w:rFonts w:hint="eastAsia"/>
        </w:rPr>
        <w:t>DB45/T 1442  土壤中全硒含量的分级要求</w:t>
      </w:r>
    </w:p>
    <w:p>
      <w:pPr>
        <w:pStyle w:val="105"/>
        <w:spacing w:before="240" w:after="240"/>
        <w:ind w:left="0"/>
      </w:pPr>
      <w:r>
        <w:rPr>
          <w:rFonts w:hint="eastAsia"/>
        </w:rPr>
        <w:t>术语和定义</w:t>
      </w:r>
    </w:p>
    <w:sdt>
      <w:sdtPr>
        <w:id w:val="-1909835108"/>
        <w:placeholder>
          <w:docPart w:val="DB1B77AFB40A420D8B868C87DB680A5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9" w:name="_Toc26986532"/>
          <w:bookmarkEnd w:id="39"/>
          <w:r>
            <w:t>下列术语和定义适用于本文件。</w:t>
          </w:r>
        </w:p>
      </w:sdtContent>
    </w:sdt>
    <w:p>
      <w:pPr>
        <w:pStyle w:val="224"/>
        <w:ind w:left="420" w:hanging="420" w:hangingChars="200"/>
        <w:rPr>
          <w:rFonts w:ascii="黑体" w:hAnsi="黑体" w:eastAsia="黑体"/>
        </w:rPr>
      </w:pPr>
      <w:r>
        <w:rPr>
          <w:rFonts w:ascii="黑体" w:hAnsi="黑体" w:eastAsia="黑体"/>
          <w:color w:val="FF0000"/>
        </w:rPr>
        <w:br w:type="textWrapping"/>
      </w:r>
      <w:r>
        <w:rPr>
          <w:rFonts w:hint="eastAsia" w:ascii="黑体" w:hAnsi="黑体" w:eastAsia="黑体"/>
          <w:szCs w:val="22"/>
          <w:lang w:eastAsia="zh-CN"/>
        </w:rPr>
        <w:t>富硒</w:t>
      </w:r>
      <w:r>
        <w:rPr>
          <w:rFonts w:hint="eastAsia" w:ascii="黑体" w:hAnsi="黑体" w:eastAsia="黑体"/>
          <w:szCs w:val="22"/>
        </w:rPr>
        <w:t>夏</w:t>
      </w:r>
      <w:r>
        <w:rPr>
          <w:rFonts w:hint="eastAsia" w:ascii="黑体" w:hAnsi="黑体" w:eastAsia="黑体"/>
        </w:rPr>
        <w:t>茶品质提升  q</w:t>
      </w:r>
      <w:r>
        <w:rPr>
          <w:rFonts w:ascii="黑体" w:hAnsi="黑体" w:eastAsia="黑体"/>
        </w:rPr>
        <w:t xml:space="preserve">uality improvement of </w:t>
      </w:r>
      <w:r>
        <w:rPr>
          <w:rFonts w:hint="eastAsia" w:ascii="黑体" w:hAnsi="黑体" w:eastAsia="黑体"/>
        </w:rPr>
        <w:t>selenium</w:t>
      </w:r>
      <w:r>
        <w:rPr>
          <w:rFonts w:hint="eastAsia" w:ascii="黑体" w:hAnsi="黑体" w:eastAsia="黑体"/>
          <w:lang w:val="en-US" w:eastAsia="zh-CN"/>
        </w:rPr>
        <w:t xml:space="preserve"> </w:t>
      </w:r>
      <w:r>
        <w:rPr>
          <w:rFonts w:ascii="黑体" w:hAnsi="黑体" w:eastAsia="黑体"/>
        </w:rPr>
        <w:t>summer tea</w:t>
      </w:r>
    </w:p>
    <w:p>
      <w:pPr>
        <w:pStyle w:val="57"/>
        <w:ind w:firstLine="420"/>
      </w:pPr>
      <w:r>
        <w:rPr>
          <w:rFonts w:hint="eastAsia"/>
        </w:rPr>
        <w:t>夏茶生产过程中，通过适度遮阴、硒素调控等措施，提高茶树新梢的芽、叶、嫩茎中叶绿素、氨基酸、水浸出物含量且硒元素（Se）含量符合GH/T 1090要求的技术。</w:t>
      </w:r>
      <w:bookmarkStart w:id="40" w:name="_Toc66150629"/>
      <w:bookmarkEnd w:id="40"/>
    </w:p>
    <w:p>
      <w:pPr>
        <w:pStyle w:val="105"/>
        <w:spacing w:before="240" w:after="240"/>
        <w:ind w:left="0"/>
      </w:pPr>
      <w:bookmarkStart w:id="41" w:name="_Toc66150631"/>
      <w:bookmarkStart w:id="42" w:name="_Toc66150663"/>
      <w:r>
        <w:rPr>
          <w:rFonts w:hint="eastAsia"/>
        </w:rPr>
        <w:t>产地环境</w:t>
      </w:r>
      <w:bookmarkEnd w:id="41"/>
      <w:bookmarkEnd w:id="42"/>
    </w:p>
    <w:p>
      <w:pPr>
        <w:pStyle w:val="57"/>
        <w:ind w:firstLine="420"/>
      </w:pPr>
      <w:r>
        <w:rPr>
          <w:rFonts w:hint="eastAsia"/>
        </w:rPr>
        <w:t>宜选择坡度</w:t>
      </w:r>
      <w:r>
        <w:rPr>
          <w:rFonts w:hint="eastAsia" w:hAnsi="宋体"/>
        </w:rPr>
        <w:t>≤25°，土层厚度</w:t>
      </w:r>
      <w:r>
        <w:rPr>
          <w:rFonts w:hint="eastAsia"/>
        </w:rPr>
        <w:t>≥1</w:t>
      </w:r>
      <w:r>
        <w:rPr>
          <w:rFonts w:hint="eastAsia"/>
          <w:vertAlign w:val="superscript"/>
        </w:rPr>
        <w:t xml:space="preserve"> </w:t>
      </w:r>
      <w:r>
        <w:rPr>
          <w:rFonts w:hint="eastAsia"/>
        </w:rPr>
        <w:t>m</w:t>
      </w:r>
      <w:r>
        <w:rPr>
          <w:rFonts w:hint="eastAsia" w:hAnsi="宋体"/>
        </w:rPr>
        <w:t>、富含有机质、pH4.5～6.5，质地为红壤、赤红壤或黄壤土，水源充足、排水良好的地块。</w:t>
      </w:r>
      <w:r>
        <w:rPr>
          <w:rFonts w:hint="eastAsia"/>
        </w:rPr>
        <w:t>土壤中硒含量达到DB45/T 1442中足硒或富硒指标要求。灌溉水、土壤环境质量应符合NY/T 5010的规定。</w:t>
      </w:r>
    </w:p>
    <w:p>
      <w:pPr>
        <w:pStyle w:val="105"/>
        <w:spacing w:before="240" w:after="240"/>
        <w:ind w:left="0"/>
      </w:pPr>
      <w:bookmarkStart w:id="43" w:name="_Toc66150635"/>
      <w:bookmarkStart w:id="44" w:name="_Toc66150664"/>
      <w:r>
        <w:rPr>
          <w:rFonts w:hint="eastAsia"/>
        </w:rPr>
        <w:t>种植</w:t>
      </w:r>
      <w:bookmarkEnd w:id="43"/>
      <w:bookmarkEnd w:id="44"/>
    </w:p>
    <w:p>
      <w:pPr>
        <w:pStyle w:val="57"/>
        <w:ind w:firstLine="420"/>
      </w:pPr>
      <w:r>
        <w:rPr>
          <w:rFonts w:hint="eastAsia"/>
        </w:rPr>
        <w:t>应符合NY/T 5018的要求。</w:t>
      </w:r>
    </w:p>
    <w:p>
      <w:pPr>
        <w:pStyle w:val="105"/>
        <w:spacing w:before="240" w:after="240"/>
        <w:ind w:left="0"/>
      </w:pPr>
      <w:bookmarkStart w:id="45" w:name="_Toc66150636"/>
      <w:bookmarkStart w:id="46" w:name="_Toc66150665"/>
      <w:r>
        <w:rPr>
          <w:rFonts w:hint="eastAsia"/>
        </w:rPr>
        <w:t>土肥水管理</w:t>
      </w:r>
      <w:bookmarkEnd w:id="45"/>
      <w:bookmarkEnd w:id="46"/>
    </w:p>
    <w:p>
      <w:pPr>
        <w:pStyle w:val="106"/>
        <w:spacing w:before="120" w:after="120"/>
      </w:pPr>
      <w:bookmarkStart w:id="47" w:name="_Toc66150637"/>
      <w:r>
        <w:rPr>
          <w:rFonts w:hint="eastAsia"/>
        </w:rPr>
        <w:t>土壤</w:t>
      </w:r>
      <w:bookmarkEnd w:id="47"/>
    </w:p>
    <w:p>
      <w:pPr>
        <w:pStyle w:val="57"/>
        <w:ind w:firstLine="420"/>
      </w:pPr>
      <w:r>
        <w:rPr>
          <w:rFonts w:hint="eastAsia"/>
        </w:rPr>
        <w:t>应符合NY/T 5018的要求。</w:t>
      </w:r>
    </w:p>
    <w:p>
      <w:pPr>
        <w:pStyle w:val="57"/>
        <w:ind w:firstLine="420"/>
      </w:pPr>
    </w:p>
    <w:p>
      <w:pPr>
        <w:pStyle w:val="57"/>
        <w:ind w:firstLine="420"/>
      </w:pPr>
    </w:p>
    <w:p>
      <w:pPr>
        <w:pStyle w:val="106"/>
        <w:spacing w:before="120" w:after="120"/>
      </w:pPr>
      <w:bookmarkStart w:id="48" w:name="_Toc66150638"/>
      <w:r>
        <w:rPr>
          <w:rFonts w:hint="eastAsia"/>
        </w:rPr>
        <w:t>施肥</w:t>
      </w:r>
      <w:bookmarkEnd w:id="48"/>
    </w:p>
    <w:p>
      <w:pPr>
        <w:pStyle w:val="66"/>
        <w:spacing w:before="120" w:after="120"/>
      </w:pPr>
      <w:r>
        <w:rPr>
          <w:rFonts w:hint="eastAsia"/>
        </w:rPr>
        <w:t>施肥原则</w:t>
      </w:r>
    </w:p>
    <w:p>
      <w:pPr>
        <w:pStyle w:val="57"/>
        <w:ind w:firstLine="420"/>
      </w:pPr>
      <w:r>
        <w:rPr>
          <w:rFonts w:hint="eastAsia"/>
        </w:rPr>
        <w:t xml:space="preserve">茶园测土平衡施肥，基肥和追肥结合施用。少施化学肥料，多施有机肥料。肥料使用应符合NY/T 496的规定，微生物肥料使用应符合NY/T 798的规定。 </w:t>
      </w:r>
    </w:p>
    <w:p>
      <w:pPr>
        <w:pStyle w:val="66"/>
        <w:spacing w:before="120" w:after="120"/>
      </w:pPr>
      <w:r>
        <w:rPr>
          <w:rFonts w:hint="eastAsia"/>
        </w:rPr>
        <w:t>基肥</w:t>
      </w:r>
    </w:p>
    <w:p>
      <w:pPr>
        <w:pStyle w:val="57"/>
        <w:ind w:firstLine="420"/>
      </w:pPr>
      <w:r>
        <w:rPr>
          <w:rFonts w:hint="eastAsia"/>
        </w:rPr>
        <w:t>宜以有机肥料和茶树专用配方肥为主，10月下旬秋茶停采后开沟15</w:t>
      </w:r>
      <w:r>
        <w:rPr>
          <w:rFonts w:hint="eastAsia"/>
          <w:vertAlign w:val="superscript"/>
        </w:rPr>
        <w:t xml:space="preserve"> </w:t>
      </w:r>
      <w:r>
        <w:rPr>
          <w:rFonts w:hint="eastAsia"/>
        </w:rPr>
        <w:t>cm～20</w:t>
      </w:r>
      <w:r>
        <w:rPr>
          <w:rFonts w:hint="eastAsia"/>
          <w:vertAlign w:val="superscript"/>
        </w:rPr>
        <w:t xml:space="preserve"> </w:t>
      </w:r>
      <w:r>
        <w:rPr>
          <w:rFonts w:hint="eastAsia"/>
        </w:rPr>
        <w:t>cm深施，每667</w:t>
      </w:r>
      <w:r>
        <w:rPr>
          <w:rFonts w:hint="eastAsia"/>
          <w:vertAlign w:val="superscript"/>
        </w:rPr>
        <w:t xml:space="preserve"> </w:t>
      </w:r>
      <w:r>
        <w:rPr>
          <w:rFonts w:hint="eastAsia"/>
        </w:rPr>
        <w:t>m</w:t>
      </w:r>
      <w:r>
        <w:rPr>
          <w:rFonts w:hint="eastAsia"/>
          <w:vertAlign w:val="superscript"/>
        </w:rPr>
        <w:t>2</w:t>
      </w:r>
      <w:r>
        <w:rPr>
          <w:rFonts w:hint="eastAsia"/>
        </w:rPr>
        <w:t>施用有机肥料200</w:t>
      </w:r>
      <w:r>
        <w:rPr>
          <w:rFonts w:hint="eastAsia"/>
          <w:vertAlign w:val="superscript"/>
        </w:rPr>
        <w:t xml:space="preserve"> </w:t>
      </w:r>
      <w:r>
        <w:rPr>
          <w:rFonts w:hint="eastAsia"/>
        </w:rPr>
        <w:t>kg～300</w:t>
      </w:r>
      <w:r>
        <w:rPr>
          <w:rFonts w:hint="eastAsia"/>
          <w:vertAlign w:val="superscript"/>
        </w:rPr>
        <w:t xml:space="preserve"> </w:t>
      </w:r>
      <w:r>
        <w:rPr>
          <w:rFonts w:hint="eastAsia"/>
        </w:rPr>
        <w:t>kg，或腐熟农家肥1</w:t>
      </w:r>
      <w:r>
        <w:rPr>
          <w:rFonts w:hint="eastAsia"/>
          <w:vertAlign w:val="superscript"/>
        </w:rPr>
        <w:t xml:space="preserve"> </w:t>
      </w:r>
      <w:r>
        <w:rPr>
          <w:rFonts w:hint="eastAsia"/>
        </w:rPr>
        <w:t>000</w:t>
      </w:r>
      <w:r>
        <w:rPr>
          <w:rFonts w:hint="eastAsia"/>
          <w:vertAlign w:val="superscript"/>
        </w:rPr>
        <w:t xml:space="preserve"> </w:t>
      </w:r>
      <w:r>
        <w:rPr>
          <w:rFonts w:hint="eastAsia"/>
        </w:rPr>
        <w:t>kg～1</w:t>
      </w:r>
      <w:r>
        <w:rPr>
          <w:rFonts w:hint="eastAsia"/>
          <w:vertAlign w:val="superscript"/>
        </w:rPr>
        <w:t xml:space="preserve"> </w:t>
      </w:r>
      <w:r>
        <w:rPr>
          <w:rFonts w:hint="eastAsia"/>
        </w:rPr>
        <w:t>500</w:t>
      </w:r>
      <w:r>
        <w:rPr>
          <w:rFonts w:hint="eastAsia"/>
          <w:vertAlign w:val="superscript"/>
        </w:rPr>
        <w:t xml:space="preserve"> </w:t>
      </w:r>
      <w:r>
        <w:rPr>
          <w:rFonts w:hint="eastAsia"/>
        </w:rPr>
        <w:t>kg，同时根据土壤条件，每667</w:t>
      </w:r>
      <w:r>
        <w:rPr>
          <w:rFonts w:hint="eastAsia"/>
          <w:vertAlign w:val="superscript"/>
        </w:rPr>
        <w:t xml:space="preserve"> </w:t>
      </w:r>
      <w:r>
        <w:rPr>
          <w:rFonts w:hint="eastAsia"/>
        </w:rPr>
        <w:t>m</w:t>
      </w:r>
      <w:r>
        <w:rPr>
          <w:rFonts w:hint="eastAsia"/>
          <w:vertAlign w:val="superscript"/>
        </w:rPr>
        <w:t>2</w:t>
      </w:r>
      <w:r>
        <w:rPr>
          <w:rFonts w:hint="eastAsia"/>
        </w:rPr>
        <w:t>配合施用氮肥（按纯氮计）10</w:t>
      </w:r>
      <w:r>
        <w:rPr>
          <w:rFonts w:hint="eastAsia"/>
          <w:vertAlign w:val="superscript"/>
        </w:rPr>
        <w:t xml:space="preserve"> </w:t>
      </w:r>
      <w:r>
        <w:rPr>
          <w:rFonts w:hint="eastAsia"/>
        </w:rPr>
        <w:t>kg～12</w:t>
      </w:r>
      <w:r>
        <w:rPr>
          <w:rFonts w:hint="eastAsia"/>
          <w:vertAlign w:val="superscript"/>
        </w:rPr>
        <w:t xml:space="preserve"> </w:t>
      </w:r>
      <w:r>
        <w:rPr>
          <w:rFonts w:hint="eastAsia"/>
        </w:rPr>
        <w:t>kg、磷肥（按P</w:t>
      </w:r>
      <w:r>
        <w:rPr>
          <w:rFonts w:hint="eastAsia"/>
          <w:vertAlign w:val="subscript"/>
        </w:rPr>
        <w:t>2</w:t>
      </w:r>
      <w:r>
        <w:t>O</w:t>
      </w:r>
      <w:r>
        <w:rPr>
          <w:rFonts w:hint="eastAsia"/>
          <w:vertAlign w:val="subscript"/>
        </w:rPr>
        <w:t>5</w:t>
      </w:r>
      <w:r>
        <w:rPr>
          <w:rFonts w:hint="eastAsia"/>
        </w:rPr>
        <w:t>计）5</w:t>
      </w:r>
      <w:r>
        <w:rPr>
          <w:rFonts w:hint="eastAsia"/>
          <w:vertAlign w:val="superscript"/>
        </w:rPr>
        <w:t xml:space="preserve"> </w:t>
      </w:r>
      <w:r>
        <w:rPr>
          <w:rFonts w:hint="eastAsia"/>
        </w:rPr>
        <w:t>kg～10</w:t>
      </w:r>
      <w:r>
        <w:rPr>
          <w:rFonts w:hint="eastAsia"/>
          <w:vertAlign w:val="superscript"/>
        </w:rPr>
        <w:t xml:space="preserve"> </w:t>
      </w:r>
      <w:r>
        <w:rPr>
          <w:rFonts w:hint="eastAsia"/>
        </w:rPr>
        <w:t>kg、钾肥（按K</w:t>
      </w:r>
      <w:r>
        <w:rPr>
          <w:rFonts w:hint="eastAsia"/>
          <w:vertAlign w:val="subscript"/>
        </w:rPr>
        <w:t>2</w:t>
      </w:r>
      <w:r>
        <w:rPr>
          <w:rFonts w:hint="eastAsia"/>
        </w:rPr>
        <w:t>O计）6</w:t>
      </w:r>
      <w:r>
        <w:rPr>
          <w:rFonts w:hint="eastAsia"/>
          <w:vertAlign w:val="superscript"/>
        </w:rPr>
        <w:t xml:space="preserve"> </w:t>
      </w:r>
      <w:r>
        <w:rPr>
          <w:rFonts w:hint="eastAsia"/>
        </w:rPr>
        <w:t>kg～10</w:t>
      </w:r>
      <w:r>
        <w:rPr>
          <w:rFonts w:hint="eastAsia"/>
          <w:vertAlign w:val="superscript"/>
        </w:rPr>
        <w:t xml:space="preserve"> </w:t>
      </w:r>
      <w:r>
        <w:rPr>
          <w:rFonts w:hint="eastAsia"/>
        </w:rPr>
        <w:t>kg，施肥后及时盖土。</w:t>
      </w:r>
    </w:p>
    <w:p>
      <w:pPr>
        <w:pStyle w:val="66"/>
        <w:spacing w:before="120" w:after="120"/>
      </w:pPr>
      <w:r>
        <w:rPr>
          <w:rFonts w:hint="eastAsia"/>
        </w:rPr>
        <w:t>追肥</w:t>
      </w:r>
    </w:p>
    <w:p>
      <w:pPr>
        <w:pStyle w:val="57"/>
        <w:ind w:firstLine="420"/>
      </w:pPr>
      <w:r>
        <w:rPr>
          <w:rFonts w:hint="eastAsia"/>
        </w:rPr>
        <w:t>以速效氮肥为主，4月下旬春茶停采后开沟5</w:t>
      </w:r>
      <w:r>
        <w:rPr>
          <w:rFonts w:hint="eastAsia"/>
          <w:vertAlign w:val="superscript"/>
        </w:rPr>
        <w:t xml:space="preserve"> </w:t>
      </w:r>
      <w:r>
        <w:rPr>
          <w:rFonts w:hint="eastAsia"/>
        </w:rPr>
        <w:t>cm～10</w:t>
      </w:r>
      <w:r>
        <w:rPr>
          <w:rFonts w:hint="eastAsia"/>
          <w:vertAlign w:val="superscript"/>
        </w:rPr>
        <w:t xml:space="preserve"> </w:t>
      </w:r>
      <w:r>
        <w:rPr>
          <w:rFonts w:hint="eastAsia"/>
        </w:rPr>
        <w:t>cm浅施，每667</w:t>
      </w:r>
      <w:r>
        <w:rPr>
          <w:rFonts w:hint="eastAsia"/>
          <w:vertAlign w:val="superscript"/>
        </w:rPr>
        <w:t xml:space="preserve"> </w:t>
      </w:r>
      <w:r>
        <w:rPr>
          <w:rFonts w:hint="eastAsia"/>
        </w:rPr>
        <w:t>m</w:t>
      </w:r>
      <w:r>
        <w:rPr>
          <w:rFonts w:hint="eastAsia"/>
          <w:vertAlign w:val="superscript"/>
        </w:rPr>
        <w:t>2</w:t>
      </w:r>
      <w:r>
        <w:rPr>
          <w:rFonts w:hint="eastAsia"/>
        </w:rPr>
        <w:t>施用氮肥（按纯氮计）10</w:t>
      </w:r>
      <w:r>
        <w:rPr>
          <w:rFonts w:hint="eastAsia"/>
          <w:vertAlign w:val="superscript"/>
        </w:rPr>
        <w:t xml:space="preserve"> </w:t>
      </w:r>
      <w:r>
        <w:rPr>
          <w:rFonts w:hint="eastAsia"/>
        </w:rPr>
        <w:t>kg～12</w:t>
      </w:r>
      <w:r>
        <w:rPr>
          <w:rFonts w:hint="eastAsia"/>
          <w:vertAlign w:val="superscript"/>
        </w:rPr>
        <w:t xml:space="preserve"> </w:t>
      </w:r>
      <w:r>
        <w:rPr>
          <w:rFonts w:hint="eastAsia"/>
        </w:rPr>
        <w:t>kg，施肥后盖土。夏季茶树出现微量元素缺乏时可喷施叶面肥，叶面肥应与土壤施肥相结合，在春茶结束后进行轻修剪后喷施1～2次。</w:t>
      </w:r>
    </w:p>
    <w:p>
      <w:pPr>
        <w:pStyle w:val="106"/>
        <w:spacing w:before="120" w:after="120"/>
      </w:pPr>
      <w:bookmarkStart w:id="49" w:name="_Toc66150639"/>
      <w:r>
        <w:rPr>
          <w:rFonts w:hint="eastAsia"/>
        </w:rPr>
        <w:t>水分</w:t>
      </w:r>
      <w:bookmarkEnd w:id="49"/>
    </w:p>
    <w:p>
      <w:pPr>
        <w:pStyle w:val="57"/>
        <w:ind w:firstLine="420"/>
      </w:pPr>
      <w:r>
        <w:rPr>
          <w:rFonts w:hint="eastAsia"/>
        </w:rPr>
        <w:t>夏季如遇高温干旱，土壤相对含水量低于70</w:t>
      </w:r>
      <w:r>
        <w:rPr>
          <w:rFonts w:hint="eastAsia" w:hAnsi="宋体"/>
        </w:rPr>
        <w:t>％</w:t>
      </w:r>
      <w:r>
        <w:rPr>
          <w:rFonts w:hint="eastAsia"/>
        </w:rPr>
        <w:t>时，应及时喷灌或滴灌，保持土壤湿润。如遇暴雨，应及时排涝降渍。</w:t>
      </w:r>
    </w:p>
    <w:p>
      <w:pPr>
        <w:pStyle w:val="105"/>
        <w:spacing w:before="240" w:after="240"/>
        <w:ind w:left="0"/>
      </w:pPr>
      <w:bookmarkStart w:id="50" w:name="_Toc66150640"/>
      <w:bookmarkStart w:id="51" w:name="_Toc66150666"/>
      <w:r>
        <w:rPr>
          <w:rFonts w:hint="eastAsia"/>
        </w:rPr>
        <w:t>硒素调控</w:t>
      </w:r>
      <w:bookmarkEnd w:id="50"/>
      <w:bookmarkEnd w:id="51"/>
    </w:p>
    <w:p>
      <w:pPr>
        <w:pStyle w:val="106"/>
        <w:spacing w:before="120" w:after="120"/>
      </w:pPr>
      <w:bookmarkStart w:id="52" w:name="_Toc66150641"/>
      <w:r>
        <w:rPr>
          <w:rFonts w:hint="eastAsia"/>
        </w:rPr>
        <w:t>土壤硒素活化剂施用</w:t>
      </w:r>
      <w:bookmarkEnd w:id="52"/>
    </w:p>
    <w:p>
      <w:pPr>
        <w:pStyle w:val="57"/>
        <w:ind w:firstLine="420"/>
        <w:rPr>
          <w:color w:val="0000FF"/>
        </w:rPr>
      </w:pPr>
      <w:r>
        <w:rPr>
          <w:rFonts w:hint="eastAsia"/>
        </w:rPr>
        <w:t>土壤硒含量在0.4</w:t>
      </w:r>
      <w:r>
        <w:rPr>
          <w:rFonts w:hint="eastAsia"/>
          <w:vertAlign w:val="superscript"/>
        </w:rPr>
        <w:t xml:space="preserve"> </w:t>
      </w:r>
      <w:r>
        <w:rPr>
          <w:rFonts w:hint="eastAsia"/>
        </w:rPr>
        <w:t>mg/kg以上的茶园可选择在土壤中施用由粉碎农作物秸秆、豆腐渣、耐硒菌配制而成的土壤硒素活化剂，在施追肥时将土壤硒素活化剂同步均匀施入茶树根部土壤，每667</w:t>
      </w:r>
      <w:r>
        <w:rPr>
          <w:rFonts w:hint="eastAsia"/>
          <w:vertAlign w:val="superscript"/>
        </w:rPr>
        <w:t xml:space="preserve"> </w:t>
      </w:r>
      <w:r>
        <w:rPr>
          <w:rFonts w:hint="eastAsia"/>
        </w:rPr>
        <w:t>m</w:t>
      </w:r>
      <w:r>
        <w:rPr>
          <w:rFonts w:hint="eastAsia"/>
          <w:vertAlign w:val="superscript"/>
        </w:rPr>
        <w:t>2</w:t>
      </w:r>
      <w:r>
        <w:rPr>
          <w:rFonts w:hint="eastAsia"/>
        </w:rPr>
        <w:t>施用土壤硒素活化剂100</w:t>
      </w:r>
      <w:r>
        <w:rPr>
          <w:rFonts w:hint="eastAsia"/>
          <w:vertAlign w:val="superscript"/>
        </w:rPr>
        <w:t xml:space="preserve"> </w:t>
      </w:r>
      <w:r>
        <w:rPr>
          <w:rFonts w:hint="eastAsia"/>
        </w:rPr>
        <w:t>kg～</w:t>
      </w:r>
      <w:r>
        <w:t>2</w:t>
      </w:r>
      <w:r>
        <w:rPr>
          <w:rFonts w:hint="eastAsia"/>
        </w:rPr>
        <w:t>0</w:t>
      </w:r>
      <w:r>
        <w:t>0</w:t>
      </w:r>
      <w:r>
        <w:rPr>
          <w:rFonts w:hint="eastAsia"/>
          <w:vertAlign w:val="superscript"/>
        </w:rPr>
        <w:t xml:space="preserve"> </w:t>
      </w:r>
      <w:r>
        <w:rPr>
          <w:rFonts w:hint="eastAsia"/>
        </w:rPr>
        <w:t>kg。</w:t>
      </w:r>
    </w:p>
    <w:p>
      <w:pPr>
        <w:pStyle w:val="106"/>
        <w:spacing w:before="120" w:after="120"/>
      </w:pPr>
      <w:bookmarkStart w:id="53" w:name="_Toc66150642"/>
      <w:r>
        <w:rPr>
          <w:rFonts w:hint="eastAsia"/>
        </w:rPr>
        <w:t>含硒有机肥施用</w:t>
      </w:r>
      <w:bookmarkEnd w:id="53"/>
    </w:p>
    <w:p>
      <w:pPr>
        <w:pStyle w:val="57"/>
        <w:ind w:firstLine="420"/>
      </w:pPr>
      <w:r>
        <w:rPr>
          <w:rFonts w:hint="eastAsia"/>
        </w:rPr>
        <w:t>土壤硒含量在0.4</w:t>
      </w:r>
      <w:r>
        <w:rPr>
          <w:rFonts w:hint="eastAsia"/>
          <w:vertAlign w:val="superscript"/>
        </w:rPr>
        <w:t xml:space="preserve"> </w:t>
      </w:r>
      <w:r>
        <w:rPr>
          <w:rFonts w:hint="eastAsia"/>
        </w:rPr>
        <w:t>mg/kg以下的茶园可选择在土壤中施用含硒有机肥（含硒量1</w:t>
      </w:r>
      <w:r>
        <w:rPr>
          <w:rFonts w:hint="eastAsia"/>
          <w:vertAlign w:val="superscript"/>
        </w:rPr>
        <w:t xml:space="preserve"> </w:t>
      </w:r>
      <w:r>
        <w:t>000</w:t>
      </w:r>
      <w:r>
        <w:rPr>
          <w:rFonts w:hint="eastAsia"/>
          <w:vertAlign w:val="superscript"/>
        </w:rPr>
        <w:t xml:space="preserve"> </w:t>
      </w:r>
      <w:r>
        <w:rPr>
          <w:rFonts w:hint="eastAsia"/>
        </w:rPr>
        <w:t>mg/kg），在施追肥时将含硒有机肥同步均匀施入茶树根部土壤，每667</w:t>
      </w:r>
      <w:r>
        <w:rPr>
          <w:rFonts w:hint="eastAsia"/>
          <w:vertAlign w:val="superscript"/>
        </w:rPr>
        <w:t xml:space="preserve"> </w:t>
      </w:r>
      <w:r>
        <w:rPr>
          <w:rFonts w:hint="eastAsia"/>
        </w:rPr>
        <w:t>m</w:t>
      </w:r>
      <w:r>
        <w:rPr>
          <w:rFonts w:hint="eastAsia"/>
          <w:vertAlign w:val="superscript"/>
        </w:rPr>
        <w:t>2</w:t>
      </w:r>
      <w:r>
        <w:rPr>
          <w:rFonts w:hint="eastAsia"/>
        </w:rPr>
        <w:t>施用含硒有机肥</w:t>
      </w:r>
      <w:r>
        <w:t>5</w:t>
      </w:r>
      <w:r>
        <w:rPr>
          <w:rFonts w:hint="eastAsia"/>
          <w:vertAlign w:val="superscript"/>
        </w:rPr>
        <w:t xml:space="preserve"> </w:t>
      </w:r>
      <w:r>
        <w:rPr>
          <w:rFonts w:hint="eastAsia"/>
        </w:rPr>
        <w:t>kg～</w:t>
      </w:r>
      <w:r>
        <w:t>10</w:t>
      </w:r>
      <w:r>
        <w:rPr>
          <w:rFonts w:hint="eastAsia"/>
          <w:vertAlign w:val="superscript"/>
        </w:rPr>
        <w:t xml:space="preserve"> </w:t>
      </w:r>
      <w:r>
        <w:rPr>
          <w:rFonts w:hint="eastAsia"/>
        </w:rPr>
        <w:t>kg。</w:t>
      </w:r>
    </w:p>
    <w:p>
      <w:pPr>
        <w:pStyle w:val="105"/>
        <w:spacing w:before="240" w:after="240"/>
        <w:ind w:left="0"/>
      </w:pPr>
      <w:bookmarkStart w:id="54" w:name="_Toc66150643"/>
      <w:bookmarkStart w:id="55" w:name="_Toc66150667"/>
      <w:r>
        <w:rPr>
          <w:rFonts w:hint="eastAsia"/>
        </w:rPr>
        <w:t>修剪</w:t>
      </w:r>
      <w:bookmarkEnd w:id="54"/>
      <w:bookmarkEnd w:id="55"/>
    </w:p>
    <w:p>
      <w:pPr>
        <w:pStyle w:val="57"/>
        <w:ind w:firstLine="420"/>
      </w:pPr>
      <w:r>
        <w:rPr>
          <w:rFonts w:hint="eastAsia"/>
        </w:rPr>
        <w:t>5月中旬</w:t>
      </w:r>
      <w:r>
        <w:rPr>
          <w:rFonts w:hint="eastAsia" w:hAnsi="宋体"/>
        </w:rPr>
        <w:t>～</w:t>
      </w:r>
      <w:r>
        <w:rPr>
          <w:rFonts w:hint="eastAsia"/>
        </w:rPr>
        <w:t>7月中旬，待春茶停采后进行轻修剪，茶蓬高度保持在7</w:t>
      </w:r>
      <w:r>
        <w:t>0</w:t>
      </w:r>
      <w:r>
        <w:rPr>
          <w:rFonts w:hint="eastAsia"/>
          <w:vertAlign w:val="superscript"/>
        </w:rPr>
        <w:t xml:space="preserve"> </w:t>
      </w:r>
      <w:r>
        <w:rPr>
          <w:rFonts w:hint="eastAsia"/>
        </w:rPr>
        <w:t>cm～</w:t>
      </w:r>
      <w:r>
        <w:t>80</w:t>
      </w:r>
      <w:r>
        <w:rPr>
          <w:rFonts w:hint="eastAsia"/>
          <w:vertAlign w:val="superscript"/>
        </w:rPr>
        <w:t xml:space="preserve"> </w:t>
      </w:r>
      <w:r>
        <w:rPr>
          <w:rFonts w:hint="eastAsia"/>
        </w:rPr>
        <w:t>cm。</w:t>
      </w:r>
    </w:p>
    <w:p>
      <w:pPr>
        <w:pStyle w:val="105"/>
        <w:spacing w:before="240" w:after="240"/>
        <w:ind w:left="0"/>
      </w:pPr>
      <w:bookmarkStart w:id="56" w:name="_Toc66150644"/>
      <w:bookmarkStart w:id="57" w:name="_Toc66150668"/>
      <w:r>
        <w:rPr>
          <w:rFonts w:hint="eastAsia"/>
        </w:rPr>
        <w:t>遮阴</w:t>
      </w:r>
      <w:bookmarkEnd w:id="56"/>
      <w:bookmarkEnd w:id="57"/>
    </w:p>
    <w:p>
      <w:pPr>
        <w:pStyle w:val="57"/>
        <w:ind w:firstLine="420"/>
      </w:pPr>
      <w:r>
        <w:rPr>
          <w:rFonts w:hint="eastAsia"/>
        </w:rPr>
        <w:t>5月中旬</w:t>
      </w:r>
      <w:r>
        <w:rPr>
          <w:rFonts w:hint="eastAsia" w:hAnsi="宋体"/>
        </w:rPr>
        <w:t>～</w:t>
      </w:r>
      <w:r>
        <w:rPr>
          <w:rFonts w:hint="eastAsia"/>
        </w:rPr>
        <w:t>7月中旬，待春茶停采修剪后，在茶园强光照区域搭建遮阳网架，离土壤表面1.8</w:t>
      </w:r>
      <w:r>
        <w:rPr>
          <w:rFonts w:hint="eastAsia"/>
          <w:vertAlign w:val="superscript"/>
        </w:rPr>
        <w:t xml:space="preserve"> </w:t>
      </w:r>
      <w:r>
        <w:rPr>
          <w:rFonts w:hint="eastAsia"/>
        </w:rPr>
        <w:t>m～2.2</w:t>
      </w:r>
      <w:r>
        <w:rPr>
          <w:rFonts w:hint="eastAsia"/>
          <w:vertAlign w:val="superscript"/>
        </w:rPr>
        <w:t xml:space="preserve"> </w:t>
      </w:r>
      <w:r>
        <w:rPr>
          <w:rFonts w:hint="eastAsia"/>
        </w:rPr>
        <w:t>m高度处覆盖遮光率60</w:t>
      </w:r>
      <w:r>
        <w:rPr>
          <w:rFonts w:hint="eastAsia" w:hAnsi="宋体"/>
        </w:rPr>
        <w:t>％～</w:t>
      </w:r>
      <w:r>
        <w:rPr>
          <w:rFonts w:hint="eastAsia"/>
        </w:rPr>
        <w:t>7</w:t>
      </w:r>
      <w:r>
        <w:t>5</w:t>
      </w:r>
      <w:r>
        <w:rPr>
          <w:rFonts w:hint="eastAsia" w:hAnsi="宋体"/>
        </w:rPr>
        <w:t>％</w:t>
      </w:r>
      <w:r>
        <w:rPr>
          <w:rFonts w:hint="eastAsia"/>
        </w:rPr>
        <w:t>的黑色遮阳网进行遮阴，光照强度低于20</w:t>
      </w:r>
      <w:r>
        <w:rPr>
          <w:rFonts w:hint="eastAsia"/>
          <w:vertAlign w:val="superscript"/>
        </w:rPr>
        <w:t xml:space="preserve"> </w:t>
      </w:r>
      <w:r>
        <w:rPr>
          <w:rFonts w:hint="eastAsia"/>
        </w:rPr>
        <w:t>000</w:t>
      </w:r>
      <w:r>
        <w:rPr>
          <w:rFonts w:hint="eastAsia"/>
          <w:vertAlign w:val="superscript"/>
        </w:rPr>
        <w:t xml:space="preserve"> </w:t>
      </w:r>
      <w:r>
        <w:rPr>
          <w:rFonts w:hint="eastAsia"/>
        </w:rPr>
        <w:t>lx、温度低于30</w:t>
      </w:r>
      <w:r>
        <w:rPr>
          <w:rFonts w:hint="eastAsia"/>
          <w:vertAlign w:val="superscript"/>
        </w:rPr>
        <w:t xml:space="preserve"> </w:t>
      </w:r>
      <w:r>
        <w:rPr>
          <w:rFonts w:hint="eastAsia"/>
        </w:rPr>
        <w:t>℃时应拆除遮阳网。</w:t>
      </w:r>
    </w:p>
    <w:p>
      <w:pPr>
        <w:pStyle w:val="105"/>
        <w:spacing w:before="240" w:after="240"/>
        <w:ind w:left="0"/>
      </w:pPr>
      <w:bookmarkStart w:id="58" w:name="_Toc66150669"/>
      <w:bookmarkStart w:id="59" w:name="_Toc66150645"/>
      <w:r>
        <w:rPr>
          <w:rFonts w:hint="eastAsia"/>
        </w:rPr>
        <w:t>病虫害防治</w:t>
      </w:r>
      <w:bookmarkEnd w:id="58"/>
      <w:bookmarkEnd w:id="59"/>
    </w:p>
    <w:p>
      <w:pPr>
        <w:pStyle w:val="57"/>
        <w:ind w:firstLine="420"/>
      </w:pPr>
      <w:r>
        <w:rPr>
          <w:rFonts w:hint="eastAsia"/>
        </w:rPr>
        <w:t>应符合G</w:t>
      </w:r>
      <w:r>
        <w:t>B/T 8321</w:t>
      </w:r>
      <w:r>
        <w:rPr>
          <w:rFonts w:hint="eastAsia"/>
        </w:rPr>
        <w:t>（所有部分）、GB/Z 26576的规定。</w:t>
      </w:r>
    </w:p>
    <w:p>
      <w:pPr>
        <w:pStyle w:val="57"/>
        <w:ind w:firstLine="420"/>
      </w:pPr>
    </w:p>
    <w:p>
      <w:pPr>
        <w:pStyle w:val="57"/>
        <w:ind w:firstLine="420"/>
      </w:pPr>
    </w:p>
    <w:p>
      <w:pPr>
        <w:pStyle w:val="57"/>
        <w:ind w:firstLine="420"/>
      </w:pPr>
    </w:p>
    <w:p>
      <w:pPr>
        <w:pStyle w:val="105"/>
        <w:spacing w:before="240" w:after="240"/>
        <w:ind w:left="0"/>
      </w:pPr>
      <w:bookmarkStart w:id="60" w:name="_Toc66150670"/>
      <w:bookmarkStart w:id="61" w:name="_Toc66150646"/>
      <w:r>
        <w:rPr>
          <w:rFonts w:hint="eastAsia"/>
        </w:rPr>
        <w:t>采摘及储运</w:t>
      </w:r>
      <w:bookmarkEnd w:id="60"/>
      <w:bookmarkEnd w:id="61"/>
    </w:p>
    <w:p>
      <w:pPr>
        <w:pStyle w:val="106"/>
        <w:spacing w:before="120" w:after="120"/>
      </w:pPr>
      <w:bookmarkStart w:id="62" w:name="_Toc66150647"/>
      <w:r>
        <w:rPr>
          <w:rFonts w:hint="eastAsia"/>
        </w:rPr>
        <w:t>采摘</w:t>
      </w:r>
      <w:bookmarkEnd w:id="62"/>
    </w:p>
    <w:p>
      <w:pPr>
        <w:pStyle w:val="66"/>
        <w:spacing w:before="120" w:after="120"/>
      </w:pPr>
      <w:r>
        <w:rPr>
          <w:rFonts w:hint="eastAsia"/>
        </w:rPr>
        <w:t>时间</w:t>
      </w:r>
    </w:p>
    <w:p>
      <w:pPr>
        <w:pStyle w:val="57"/>
        <w:ind w:firstLine="420"/>
      </w:pPr>
      <w:r>
        <w:rPr>
          <w:rFonts w:hint="eastAsia"/>
        </w:rPr>
        <w:t>5月～7月。</w:t>
      </w:r>
    </w:p>
    <w:p>
      <w:pPr>
        <w:pStyle w:val="66"/>
        <w:spacing w:before="120" w:after="120"/>
      </w:pPr>
      <w:r>
        <w:rPr>
          <w:rFonts w:hint="eastAsia"/>
        </w:rPr>
        <w:t>要求</w:t>
      </w:r>
    </w:p>
    <w:p>
      <w:pPr>
        <w:pStyle w:val="165"/>
        <w:rPr>
          <w:rFonts w:hint="eastAsia" w:ascii="宋体" w:hAnsi="Times New Roman" w:eastAsia="宋体" w:cs="Times New Roman"/>
          <w:sz w:val="21"/>
          <w:szCs w:val="22"/>
          <w:lang w:val="en-US" w:eastAsia="zh-CN" w:bidi="ar-SA"/>
        </w:rPr>
      </w:pPr>
      <w:r>
        <w:rPr>
          <w:rFonts w:hint="eastAsia"/>
        </w:rPr>
        <w:t>根据夏季茶树生长特征和富硒茶对加工原料的要求，遵循采留结合、量质兼顾和因园制宜的原则，按一芽一叶或一芽二叶适时采摘</w:t>
      </w:r>
      <w:r>
        <w:rPr>
          <w:rFonts w:hint="eastAsia" w:hAnsi="宋体"/>
        </w:rPr>
        <w:t>。</w:t>
      </w:r>
    </w:p>
    <w:p>
      <w:pPr>
        <w:pStyle w:val="165"/>
        <w:rPr>
          <w:rFonts w:hint="eastAsia" w:ascii="宋体" w:hAnsi="Times New Roman" w:eastAsia="宋体" w:cs="Times New Roman"/>
          <w:sz w:val="21"/>
          <w:szCs w:val="22"/>
          <w:lang w:val="en-US" w:eastAsia="zh-CN" w:bidi="ar-SA"/>
        </w:rPr>
      </w:pPr>
      <w:bookmarkStart w:id="66" w:name="_GoBack"/>
      <w:bookmarkEnd w:id="66"/>
      <w:r>
        <w:rPr>
          <w:rFonts w:hint="eastAsia" w:ascii="宋体" w:hAnsi="Times New Roman" w:eastAsia="宋体" w:cs="Times New Roman"/>
          <w:sz w:val="21"/>
          <w:szCs w:val="22"/>
          <w:lang w:val="en-US" w:eastAsia="zh-CN" w:bidi="ar-SA"/>
        </w:rPr>
        <w:t>手工采茶应提手采，保持芽叶完整、新鲜、匀净、不夹鳞片、鱼叶、茶果和老枝叶，不宜捋采和抓采。</w:t>
      </w:r>
    </w:p>
    <w:p>
      <w:pPr>
        <w:pStyle w:val="106"/>
        <w:spacing w:before="120" w:after="120"/>
      </w:pPr>
      <w:bookmarkStart w:id="63" w:name="_Toc66150648"/>
      <w:r>
        <w:rPr>
          <w:rFonts w:hint="eastAsia"/>
        </w:rPr>
        <w:t>夏茶储运</w:t>
      </w:r>
      <w:bookmarkEnd w:id="63"/>
    </w:p>
    <w:p>
      <w:pPr>
        <w:pStyle w:val="57"/>
        <w:ind w:firstLine="420"/>
      </w:pPr>
      <w:bookmarkStart w:id="64" w:name="_Toc66150649"/>
      <w:r>
        <w:rPr>
          <w:rFonts w:hint="eastAsia"/>
        </w:rPr>
        <w:t>采用清洁、通风性良好的竹编、网眼茶篮或篓筐装鲜叶。采下的茶叶应及时运抵茶厂进行加工，防止鲜叶变质和混入有毒、有害物质。</w:t>
      </w:r>
      <w:bookmarkEnd w:id="64"/>
    </w:p>
    <w:p>
      <w:pPr>
        <w:pStyle w:val="105"/>
        <w:spacing w:before="240" w:after="240"/>
        <w:ind w:left="0"/>
      </w:pPr>
      <w:r>
        <w:rPr>
          <w:rFonts w:hint="eastAsia"/>
        </w:rPr>
        <w:t>生产档案</w:t>
      </w:r>
    </w:p>
    <w:p>
      <w:pPr>
        <w:pStyle w:val="57"/>
        <w:ind w:firstLine="420"/>
      </w:pPr>
      <w:r>
        <w:rPr>
          <w:rFonts w:hint="eastAsia"/>
        </w:rPr>
        <w:t>建立田间生产档案，包括投入品的名称、来源、用法、用量和使用、停用的日期及生产技术、病虫草害的发生和防治等。</w:t>
      </w:r>
    </w:p>
    <w:bookmarkEnd w:id="21"/>
    <w:p>
      <w:pPr>
        <w:pStyle w:val="57"/>
        <w:ind w:firstLine="0" w:firstLineChars="0"/>
        <w:jc w:val="center"/>
      </w:pPr>
      <w:bookmarkStart w:id="65"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cstate="print"/>
                    <a:stretch>
                      <a:fillRect/>
                    </a:stretch>
                  </pic:blipFill>
                  <pic:spPr>
                    <a:xfrm>
                      <a:off x="0" y="0"/>
                      <a:ext cx="1485900" cy="317500"/>
                    </a:xfrm>
                    <a:prstGeom prst="rect">
                      <a:avLst/>
                    </a:prstGeom>
                  </pic:spPr>
                </pic:pic>
              </a:graphicData>
            </a:graphic>
          </wp:inline>
        </w:drawing>
      </w:r>
      <w:bookmarkEnd w:id="65"/>
    </w:p>
    <w:sectPr>
      <w:pgSz w:w="11906" w:h="16838"/>
      <w:pgMar w:top="2410" w:right="1134" w:bottom="1134" w:left="1134" w:header="1418" w:footer="1134" w:gutter="284"/>
      <w:pgNumType w:start="1"/>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567"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2BB2"/>
    <w:rsid w:val="0000040A"/>
    <w:rsid w:val="00000A94"/>
    <w:rsid w:val="00001972"/>
    <w:rsid w:val="00001D9A"/>
    <w:rsid w:val="00003821"/>
    <w:rsid w:val="00007B3A"/>
    <w:rsid w:val="000107E0"/>
    <w:rsid w:val="00011FDE"/>
    <w:rsid w:val="00012FFD"/>
    <w:rsid w:val="00014162"/>
    <w:rsid w:val="00014340"/>
    <w:rsid w:val="00016A9C"/>
    <w:rsid w:val="00022184"/>
    <w:rsid w:val="00022762"/>
    <w:rsid w:val="000238E0"/>
    <w:rsid w:val="000249DB"/>
    <w:rsid w:val="0002595E"/>
    <w:rsid w:val="000303C3"/>
    <w:rsid w:val="00030802"/>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4BD"/>
    <w:rsid w:val="000712EB"/>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C9C"/>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5068"/>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3D1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071"/>
    <w:rsid w:val="00194C95"/>
    <w:rsid w:val="00195C34"/>
    <w:rsid w:val="00196EF5"/>
    <w:rsid w:val="001A1068"/>
    <w:rsid w:val="001A1A53"/>
    <w:rsid w:val="001A234A"/>
    <w:rsid w:val="001A4CF3"/>
    <w:rsid w:val="001A6696"/>
    <w:rsid w:val="001B06E8"/>
    <w:rsid w:val="001B71D0"/>
    <w:rsid w:val="001B71EE"/>
    <w:rsid w:val="001C04A8"/>
    <w:rsid w:val="001C2C03"/>
    <w:rsid w:val="001C42F7"/>
    <w:rsid w:val="001C49E5"/>
    <w:rsid w:val="001C680C"/>
    <w:rsid w:val="001C7FEA"/>
    <w:rsid w:val="001D0430"/>
    <w:rsid w:val="001D0499"/>
    <w:rsid w:val="001D0BBE"/>
    <w:rsid w:val="001D0ED4"/>
    <w:rsid w:val="001D212F"/>
    <w:rsid w:val="001D29D7"/>
    <w:rsid w:val="001D2DE7"/>
    <w:rsid w:val="001D411C"/>
    <w:rsid w:val="001D6512"/>
    <w:rsid w:val="001E1B6A"/>
    <w:rsid w:val="001E2484"/>
    <w:rsid w:val="001E2F57"/>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24"/>
    <w:rsid w:val="0024666E"/>
    <w:rsid w:val="00247F52"/>
    <w:rsid w:val="00250B25"/>
    <w:rsid w:val="00250BBE"/>
    <w:rsid w:val="002515C2"/>
    <w:rsid w:val="0025194F"/>
    <w:rsid w:val="002602E6"/>
    <w:rsid w:val="0026148A"/>
    <w:rsid w:val="00262696"/>
    <w:rsid w:val="00263D25"/>
    <w:rsid w:val="002643C3"/>
    <w:rsid w:val="00264A0C"/>
    <w:rsid w:val="00266EEB"/>
    <w:rsid w:val="00267EF4"/>
    <w:rsid w:val="00270CB8"/>
    <w:rsid w:val="00272B08"/>
    <w:rsid w:val="00280675"/>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C0"/>
    <w:rsid w:val="002F30E0"/>
    <w:rsid w:val="002F35E4"/>
    <w:rsid w:val="002F3730"/>
    <w:rsid w:val="002F38E1"/>
    <w:rsid w:val="002F7AF6"/>
    <w:rsid w:val="00300E63"/>
    <w:rsid w:val="00302F5F"/>
    <w:rsid w:val="0030441D"/>
    <w:rsid w:val="00306063"/>
    <w:rsid w:val="00312BB2"/>
    <w:rsid w:val="00313B85"/>
    <w:rsid w:val="00317988"/>
    <w:rsid w:val="003221B4"/>
    <w:rsid w:val="0032258D"/>
    <w:rsid w:val="00322E62"/>
    <w:rsid w:val="00324D13"/>
    <w:rsid w:val="00324EDD"/>
    <w:rsid w:val="0033270E"/>
    <w:rsid w:val="003331E4"/>
    <w:rsid w:val="00336C64"/>
    <w:rsid w:val="00337162"/>
    <w:rsid w:val="00337D7E"/>
    <w:rsid w:val="0034194F"/>
    <w:rsid w:val="00344605"/>
    <w:rsid w:val="003474AA"/>
    <w:rsid w:val="00350D1D"/>
    <w:rsid w:val="00352C83"/>
    <w:rsid w:val="00352F1A"/>
    <w:rsid w:val="003569D7"/>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2ECB"/>
    <w:rsid w:val="003C5A43"/>
    <w:rsid w:val="003C6C0A"/>
    <w:rsid w:val="003D0519"/>
    <w:rsid w:val="003D0FF6"/>
    <w:rsid w:val="003D262C"/>
    <w:rsid w:val="003D5ACE"/>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75D2"/>
    <w:rsid w:val="004C1FBC"/>
    <w:rsid w:val="004C25A2"/>
    <w:rsid w:val="004C3F1D"/>
    <w:rsid w:val="004C458D"/>
    <w:rsid w:val="004C7556"/>
    <w:rsid w:val="004C7E8B"/>
    <w:rsid w:val="004C7E9D"/>
    <w:rsid w:val="004C7F67"/>
    <w:rsid w:val="004D076D"/>
    <w:rsid w:val="004D0EF1"/>
    <w:rsid w:val="004D2253"/>
    <w:rsid w:val="004D296B"/>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44B"/>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97A"/>
    <w:rsid w:val="005479DA"/>
    <w:rsid w:val="00547BCC"/>
    <w:rsid w:val="0055013B"/>
    <w:rsid w:val="00551F6F"/>
    <w:rsid w:val="00555044"/>
    <w:rsid w:val="00561475"/>
    <w:rsid w:val="00562308"/>
    <w:rsid w:val="0056487B"/>
    <w:rsid w:val="00564FB9"/>
    <w:rsid w:val="00567685"/>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F0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352"/>
    <w:rsid w:val="00633C17"/>
    <w:rsid w:val="00634D9E"/>
    <w:rsid w:val="00636E3E"/>
    <w:rsid w:val="006379F7"/>
    <w:rsid w:val="00637E4D"/>
    <w:rsid w:val="00640620"/>
    <w:rsid w:val="00641A1F"/>
    <w:rsid w:val="00645904"/>
    <w:rsid w:val="00651ACB"/>
    <w:rsid w:val="00651C47"/>
    <w:rsid w:val="00652AB2"/>
    <w:rsid w:val="00653FED"/>
    <w:rsid w:val="00654608"/>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4CF"/>
    <w:rsid w:val="006A07AA"/>
    <w:rsid w:val="006A25E5"/>
    <w:rsid w:val="006A2B46"/>
    <w:rsid w:val="006A336D"/>
    <w:rsid w:val="006A37B9"/>
    <w:rsid w:val="006A7FC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E7E"/>
    <w:rsid w:val="006F03A8"/>
    <w:rsid w:val="006F2ACA"/>
    <w:rsid w:val="006F2ADC"/>
    <w:rsid w:val="006F2BFE"/>
    <w:rsid w:val="006F31E9"/>
    <w:rsid w:val="006F6284"/>
    <w:rsid w:val="007002C5"/>
    <w:rsid w:val="00703339"/>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ACD"/>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DC1"/>
    <w:rsid w:val="0078114B"/>
    <w:rsid w:val="00781DD2"/>
    <w:rsid w:val="00783ECF"/>
    <w:rsid w:val="0078413A"/>
    <w:rsid w:val="007959E8"/>
    <w:rsid w:val="00795C97"/>
    <w:rsid w:val="00795E9C"/>
    <w:rsid w:val="00797FB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37D8"/>
    <w:rsid w:val="007D6518"/>
    <w:rsid w:val="007D76BD"/>
    <w:rsid w:val="007E0BF1"/>
    <w:rsid w:val="007E540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FED"/>
    <w:rsid w:val="00830621"/>
    <w:rsid w:val="0083348C"/>
    <w:rsid w:val="00836B97"/>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142"/>
    <w:rsid w:val="008864F6"/>
    <w:rsid w:val="0089049D"/>
    <w:rsid w:val="008928C9"/>
    <w:rsid w:val="008930CB"/>
    <w:rsid w:val="008938DC"/>
    <w:rsid w:val="00893FD1"/>
    <w:rsid w:val="00894836"/>
    <w:rsid w:val="00894C1C"/>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08E"/>
    <w:rsid w:val="008B7E05"/>
    <w:rsid w:val="008C1797"/>
    <w:rsid w:val="008C219C"/>
    <w:rsid w:val="008C475E"/>
    <w:rsid w:val="008C619A"/>
    <w:rsid w:val="008D0CE8"/>
    <w:rsid w:val="008D2D1D"/>
    <w:rsid w:val="008D4280"/>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FDA"/>
    <w:rsid w:val="009A42C1"/>
    <w:rsid w:val="009A5429"/>
    <w:rsid w:val="009A68BE"/>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2EFF"/>
    <w:rsid w:val="00A06A6B"/>
    <w:rsid w:val="00A07E47"/>
    <w:rsid w:val="00A1218D"/>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8AB"/>
    <w:rsid w:val="00A36DD1"/>
    <w:rsid w:val="00A4006C"/>
    <w:rsid w:val="00A40091"/>
    <w:rsid w:val="00A4030F"/>
    <w:rsid w:val="00A41C79"/>
    <w:rsid w:val="00A41CB5"/>
    <w:rsid w:val="00A42CDF"/>
    <w:rsid w:val="00A4452E"/>
    <w:rsid w:val="00A4472C"/>
    <w:rsid w:val="00A44E69"/>
    <w:rsid w:val="00A4661E"/>
    <w:rsid w:val="00A53E67"/>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0DF5"/>
    <w:rsid w:val="00B113DB"/>
    <w:rsid w:val="00B11D8A"/>
    <w:rsid w:val="00B12981"/>
    <w:rsid w:val="00B147DD"/>
    <w:rsid w:val="00B156FD"/>
    <w:rsid w:val="00B17053"/>
    <w:rsid w:val="00B21F61"/>
    <w:rsid w:val="00B261F1"/>
    <w:rsid w:val="00B265BC"/>
    <w:rsid w:val="00B31FB1"/>
    <w:rsid w:val="00B332BC"/>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962"/>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2E11"/>
    <w:rsid w:val="00BE5B52"/>
    <w:rsid w:val="00BE7B8D"/>
    <w:rsid w:val="00BF0993"/>
    <w:rsid w:val="00BF10A9"/>
    <w:rsid w:val="00BF1703"/>
    <w:rsid w:val="00BF231C"/>
    <w:rsid w:val="00BF51E5"/>
    <w:rsid w:val="00BF5BBD"/>
    <w:rsid w:val="00BF74A6"/>
    <w:rsid w:val="00C013AD"/>
    <w:rsid w:val="00C04904"/>
    <w:rsid w:val="00C056B3"/>
    <w:rsid w:val="00C103E5"/>
    <w:rsid w:val="00C13319"/>
    <w:rsid w:val="00C138FD"/>
    <w:rsid w:val="00C13EE9"/>
    <w:rsid w:val="00C21540"/>
    <w:rsid w:val="00C21906"/>
    <w:rsid w:val="00C21BFA"/>
    <w:rsid w:val="00C24C8D"/>
    <w:rsid w:val="00C25FE2"/>
    <w:rsid w:val="00C26B53"/>
    <w:rsid w:val="00C279B2"/>
    <w:rsid w:val="00C33E50"/>
    <w:rsid w:val="00C34C20"/>
    <w:rsid w:val="00C3527F"/>
    <w:rsid w:val="00C35A3E"/>
    <w:rsid w:val="00C42130"/>
    <w:rsid w:val="00C423A4"/>
    <w:rsid w:val="00C423E3"/>
    <w:rsid w:val="00C44BF5"/>
    <w:rsid w:val="00C521D6"/>
    <w:rsid w:val="00C52585"/>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79"/>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75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393"/>
    <w:rsid w:val="00CE33E9"/>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CC9"/>
    <w:rsid w:val="00D126F5"/>
    <w:rsid w:val="00D1489E"/>
    <w:rsid w:val="00D20737"/>
    <w:rsid w:val="00D21E81"/>
    <w:rsid w:val="00D223DE"/>
    <w:rsid w:val="00D25E37"/>
    <w:rsid w:val="00D2661A"/>
    <w:rsid w:val="00D27582"/>
    <w:rsid w:val="00D27EC4"/>
    <w:rsid w:val="00D32719"/>
    <w:rsid w:val="00D33333"/>
    <w:rsid w:val="00D352A2"/>
    <w:rsid w:val="00D358B4"/>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100"/>
    <w:rsid w:val="00DB498B"/>
    <w:rsid w:val="00DB66CA"/>
    <w:rsid w:val="00DB6BCA"/>
    <w:rsid w:val="00DB6F54"/>
    <w:rsid w:val="00DB73F7"/>
    <w:rsid w:val="00DC0321"/>
    <w:rsid w:val="00DC3067"/>
    <w:rsid w:val="00DC370B"/>
    <w:rsid w:val="00DC5B90"/>
    <w:rsid w:val="00DD00FF"/>
    <w:rsid w:val="00DD0619"/>
    <w:rsid w:val="00DD07FB"/>
    <w:rsid w:val="00DD25C6"/>
    <w:rsid w:val="00DD3390"/>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24E"/>
    <w:rsid w:val="00E12495"/>
    <w:rsid w:val="00E129F9"/>
    <w:rsid w:val="00E15CCD"/>
    <w:rsid w:val="00E202EF"/>
    <w:rsid w:val="00E210B5"/>
    <w:rsid w:val="00E2473D"/>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242"/>
    <w:rsid w:val="00E85BFF"/>
    <w:rsid w:val="00E90391"/>
    <w:rsid w:val="00E906C2"/>
    <w:rsid w:val="00E9143B"/>
    <w:rsid w:val="00E9311F"/>
    <w:rsid w:val="00E934D1"/>
    <w:rsid w:val="00E93D75"/>
    <w:rsid w:val="00E94AF0"/>
    <w:rsid w:val="00E95D13"/>
    <w:rsid w:val="00E95DD3"/>
    <w:rsid w:val="00E969D5"/>
    <w:rsid w:val="00EA58D1"/>
    <w:rsid w:val="00EA61BC"/>
    <w:rsid w:val="00EA681A"/>
    <w:rsid w:val="00EA735B"/>
    <w:rsid w:val="00EB1E69"/>
    <w:rsid w:val="00EB2086"/>
    <w:rsid w:val="00EB2A92"/>
    <w:rsid w:val="00EB31ED"/>
    <w:rsid w:val="00EB5EDF"/>
    <w:rsid w:val="00EB60FE"/>
    <w:rsid w:val="00EB74DB"/>
    <w:rsid w:val="00EC5359"/>
    <w:rsid w:val="00EC562A"/>
    <w:rsid w:val="00ED067A"/>
    <w:rsid w:val="00ED2B50"/>
    <w:rsid w:val="00EE0350"/>
    <w:rsid w:val="00EE0719"/>
    <w:rsid w:val="00EE0E80"/>
    <w:rsid w:val="00EE211B"/>
    <w:rsid w:val="00EE5887"/>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182"/>
    <w:rsid w:val="00F6194E"/>
    <w:rsid w:val="00F623AC"/>
    <w:rsid w:val="00F6412A"/>
    <w:rsid w:val="00F65893"/>
    <w:rsid w:val="00F66A4A"/>
    <w:rsid w:val="00F71E22"/>
    <w:rsid w:val="00F72142"/>
    <w:rsid w:val="00F72AE7"/>
    <w:rsid w:val="00F7642E"/>
    <w:rsid w:val="00F833BA"/>
    <w:rsid w:val="00F84FD0"/>
    <w:rsid w:val="00F859A8"/>
    <w:rsid w:val="00F86D87"/>
    <w:rsid w:val="00F9108B"/>
    <w:rsid w:val="00F91349"/>
    <w:rsid w:val="00F93A8A"/>
    <w:rsid w:val="00F95248"/>
    <w:rsid w:val="00F956A9"/>
    <w:rsid w:val="00F95E18"/>
    <w:rsid w:val="00F963ED"/>
    <w:rsid w:val="00F966CF"/>
    <w:rsid w:val="00F96CAE"/>
    <w:rsid w:val="00F97C99"/>
    <w:rsid w:val="00FA0CB5"/>
    <w:rsid w:val="00FA2E5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D86"/>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26262C"/>
    <w:rsid w:val="264942D0"/>
    <w:rsid w:val="49B4652B"/>
    <w:rsid w:val="6AED4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1"/>
    <w:semiHidden/>
    <w:unhideWhenUsed/>
    <w:uiPriority w:val="99"/>
    <w:rPr>
      <w:rFonts w:ascii="宋体"/>
      <w:sz w:val="18"/>
      <w:szCs w:val="18"/>
    </w:rPr>
  </w:style>
  <w:style w:type="paragraph" w:styleId="14">
    <w:name w:val="Body Text"/>
    <w:basedOn w:val="1"/>
    <w:link w:val="87"/>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uiPriority w:val="0"/>
    <w:rPr>
      <w:rFonts w:ascii="Times New Roman" w:hAnsi="Times New Roman" w:eastAsia="宋体" w:cs="Times New Roman"/>
      <w:szCs w:val="20"/>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pPr>
  </w:style>
  <w:style w:type="paragraph" w:customStyle="1" w:styleId="92">
    <w:name w:val="标准文件_目录标题"/>
    <w:basedOn w:val="1"/>
    <w:uiPriority w:val="0"/>
    <w:pPr>
      <w:spacing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uiPriority w:val="0"/>
    <w:rPr>
      <w:rFonts w:ascii="宋体" w:hAnsi="Times New Roman" w:eastAsia="宋体" w:cs="Times New Roman"/>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vAnchor="page" w:hAnchor="page" w:x="1419" w:y="14097"/>
    </w:pPr>
  </w:style>
  <w:style w:type="paragraph" w:customStyle="1" w:styleId="195">
    <w:name w:val="其他实施日期"/>
    <w:basedOn w:val="155"/>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文档结构图 Char"/>
    <w:basedOn w:val="29"/>
    <w:link w:val="13"/>
    <w:semiHidden/>
    <w:uiPriority w:val="99"/>
    <w:rPr>
      <w:rFonts w:ascii="宋体"/>
      <w:kern w:val="2"/>
      <w:sz w:val="18"/>
      <w:szCs w:val="18"/>
    </w:rPr>
  </w:style>
  <w:style w:type="paragraph" w:customStyle="1" w:styleId="232">
    <w:name w:val="正文1"/>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158468EB2C43598A8C38149B28DBBE"/>
        <w:style w:val=""/>
        <w:category>
          <w:name w:val="常规"/>
          <w:gallery w:val="placeholder"/>
        </w:category>
        <w:types>
          <w:type w:val="bbPlcHdr"/>
        </w:types>
        <w:behaviors>
          <w:behavior w:val="content"/>
        </w:behaviors>
        <w:description w:val=""/>
        <w:guid w:val="{F4B777B2-A8B3-457B-B33A-E80BC2D8F86B}"/>
      </w:docPartPr>
      <w:docPartBody>
        <w:p>
          <w:pPr>
            <w:pStyle w:val="5"/>
          </w:pPr>
          <w:r>
            <w:rPr>
              <w:rStyle w:val="4"/>
              <w:rFonts w:hint="eastAsia"/>
            </w:rPr>
            <w:t>单击或点击此处输入文字。</w:t>
          </w:r>
        </w:p>
      </w:docPartBody>
    </w:docPart>
    <w:docPart>
      <w:docPartPr>
        <w:name w:val="3C90238B54C24E8A81B5F4FF50E15F80"/>
        <w:style w:val=""/>
        <w:category>
          <w:name w:val="常规"/>
          <w:gallery w:val="placeholder"/>
        </w:category>
        <w:types>
          <w:type w:val="bbPlcHdr"/>
        </w:types>
        <w:behaviors>
          <w:behavior w:val="content"/>
        </w:behaviors>
        <w:description w:val=""/>
        <w:guid w:val="{65D2DEA7-D927-45CF-A852-8594612739BB}"/>
      </w:docPartPr>
      <w:docPartBody>
        <w:p>
          <w:pPr>
            <w:pStyle w:val="6"/>
          </w:pPr>
          <w:r>
            <w:rPr>
              <w:rStyle w:val="4"/>
              <w:rFonts w:hint="eastAsia"/>
            </w:rPr>
            <w:t>选择一项。</w:t>
          </w:r>
        </w:p>
      </w:docPartBody>
    </w:docPart>
    <w:docPart>
      <w:docPartPr>
        <w:name w:val="DB1B77AFB40A420D8B868C87DB680A59"/>
        <w:style w:val=""/>
        <w:category>
          <w:name w:val="常规"/>
          <w:gallery w:val="placeholder"/>
        </w:category>
        <w:types>
          <w:type w:val="bbPlcHdr"/>
        </w:types>
        <w:behaviors>
          <w:behavior w:val="content"/>
        </w:behaviors>
        <w:description w:val=""/>
        <w:guid w:val="{D314E389-4C01-4296-89E3-4C03DBCCAC9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7CF9"/>
    <w:rsid w:val="00474152"/>
    <w:rsid w:val="00570467"/>
    <w:rsid w:val="005E2F48"/>
    <w:rsid w:val="00995A0B"/>
    <w:rsid w:val="00A31653"/>
    <w:rsid w:val="00A97CF9"/>
    <w:rsid w:val="00B505B5"/>
    <w:rsid w:val="00D20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4158468EB2C43598A8C38149B28DBB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C90238B54C24E8A81B5F4FF50E15F8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B1B77AFB40A420D8B868C87DB680A5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AD7839-6382-4609-9C3C-558EB0E36A54}">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5</Pages>
  <Words>1155</Words>
  <Characters>1445</Characters>
  <Lines>240</Lines>
  <Paragraphs>216</Paragraphs>
  <TotalTime>141</TotalTime>
  <ScaleCrop>false</ScaleCrop>
  <LinksUpToDate>false</LinksUpToDate>
  <CharactersWithSpaces>2384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2021-08-06T00:02:00Z</dcterms:created>
  <dc:creator>Administrator</dc:creator>
  <dc:description>&lt;config cover="true" show_menu="true" version="1.0.0" doctype="SDKXY"&gt;_x000d_
&lt;/config&gt;</dc:description>
  <cp:lastModifiedBy>Administrator</cp:lastModifiedBy>
  <cp:lastPrinted>2021-02-02T08:22:00Z</cp:lastPrinted>
  <dcterms:modified xsi:type="dcterms:W3CDTF">2021-08-29T08:22:57Z</dcterms:modified>
  <dc:title>团体标准</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ies>
</file>